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30"/>
          <w:szCs w:val="30"/>
          <w:u w:val="none"/>
        </w:rPr>
        <w:t>P</w:t>
      </w:r>
      <w:r>
        <w:rPr>
          <w:rFonts w:ascii="Nimbus Roman No9 L" w:cs="Nimbus Roman No9 L;Times New Roman" w:hAnsi="Nimbus Roman No9 L"/>
          <w:b/>
          <w:bCs/>
          <w:sz w:val="30"/>
          <w:szCs w:val="30"/>
        </w:rPr>
        <w:t>AUTA DA 20ª SESSÃO ORDINÁRIA DA CÂMARA MUNICIPAL DE DOURADOS/MS.  15 DE JUNHO DE 2015.</w:t>
      </w:r>
    </w:p>
    <w:p>
      <w:pPr>
        <w:pStyle w:val="style0"/>
        <w:jc w:val="center"/>
      </w:pPr>
      <w:r>
        <w:rPr>
          <w:sz w:val="30"/>
          <w:szCs w:val="30"/>
        </w:rPr>
      </w:r>
    </w:p>
    <w:p>
      <w:pPr>
        <w:pStyle w:val="style0"/>
        <w:ind w:hanging="0" w:left="1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1.  Leitura ecumênica;</w:t>
      </w:r>
    </w:p>
    <w:p>
      <w:pPr>
        <w:pStyle w:val="style0"/>
        <w:numPr>
          <w:ilvl w:val="0"/>
          <w:numId w:val="2"/>
        </w:numPr>
        <w:tabs>
          <w:tab w:leader="none" w:pos="402" w:val="left"/>
          <w:tab w:leader="none" w:pos="46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firstLine="15" w:left="1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Execução do  Hino a Dourados.</w:t>
      </w:r>
    </w:p>
    <w:p>
      <w:pPr>
        <w:pStyle w:val="style0"/>
        <w:tabs>
          <w:tab w:leader="none" w:pos="375" w:val="left"/>
          <w:tab w:leader="none" w:pos="709" w:val="left"/>
        </w:tabs>
        <w:jc w:val="both"/>
      </w:pPr>
      <w:r>
        <w:rPr/>
      </w:r>
    </w:p>
    <w:p>
      <w:pPr>
        <w:pStyle w:val="style0"/>
        <w:shd w:fill="auto" w:val="clear"/>
        <w:spacing w:line="100" w:lineRule="atLeast"/>
        <w:jc w:val="center"/>
      </w:pPr>
      <w:r>
        <w:rPr>
          <w:rFonts w:ascii="Nimbus Roman No9 L;Times New Roman" w:cs="Nimbus Roman No9 L;Times New Roman" w:hAnsi="Nimbus Roman No9 L;Times New Roman"/>
          <w:b/>
          <w:color w:val="00000A"/>
          <w:sz w:val="30"/>
          <w:szCs w:val="30"/>
          <w:shd w:fill="auto" w:val="clear"/>
        </w:rPr>
        <w:t xml:space="preserve">EXPEDIENTE REDUZIDO - LEI DE DIRETRIZES ORÇAMENTÁRIAS EM PAUTA </w:t>
      </w:r>
    </w:p>
    <w:p>
      <w:pPr>
        <w:pStyle w:val="style0"/>
        <w:widowControl/>
        <w:shd w:fill="auto" w:val="clear"/>
        <w:tabs>
          <w:tab w:leader="none" w:pos="370" w:val="left"/>
          <w:tab w:leader="none" w:pos="694" w:val="left"/>
        </w:tabs>
        <w:suppressAutoHyphens w:val="false"/>
        <w:spacing w:after="0" w:before="0" w:line="100" w:lineRule="atLeast"/>
        <w:ind w:firstLine="15" w:left="-15" w:right="0"/>
        <w:jc w:val="center"/>
      </w:pPr>
      <w:r>
        <w:rPr>
          <w:rFonts w:ascii="Nimbus Roman No9 L;Times New Roman" w:cs="Nimbus Roman No9 L;Times New Roman" w:hAnsi="Nimbus Roman No9 L;Times New Roman"/>
          <w:b/>
          <w:bCs/>
          <w:color w:val="00000A"/>
          <w:sz w:val="30"/>
          <w:szCs w:val="30"/>
          <w:shd w:fill="auto" w:val="clear"/>
        </w:rPr>
        <w:t>(Art. 131 § 3º do RI</w:t>
      </w:r>
      <w:r>
        <w:rPr>
          <w:rFonts w:ascii="Nimbus Roman No9 L;Times New Roman" w:cs="Nimbus Roman No9 L;Times New Roman" w:hAnsi="Nimbus Roman No9 L;Times New Roman"/>
          <w:b w:val="false"/>
          <w:bCs w:val="false"/>
          <w:color w:val="00000A"/>
          <w:sz w:val="30"/>
          <w:szCs w:val="30"/>
          <w:shd w:fill="auto" w:val="clear"/>
        </w:rPr>
        <w:t xml:space="preserve">   -  30 min. Após a votação da ATA)</w:t>
      </w:r>
    </w:p>
    <w:p>
      <w:pPr>
        <w:pStyle w:val="style0"/>
        <w:tabs>
          <w:tab w:leader="none" w:pos="465" w:val="left"/>
          <w:tab w:leader="none" w:pos="49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firstLine="15" w:left="15" w:right="0"/>
        <w:jc w:val="both"/>
      </w:pPr>
      <w:r>
        <w:rPr/>
        <w:t xml:space="preserve">      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>
          <w:rFonts w:ascii="Nimbus Roman No9 L" w:cs="Tahoma" w:hAnsi="Nimbus Roman No9 L"/>
          <w:b/>
          <w:bCs/>
          <w:sz w:val="26"/>
          <w:szCs w:val="26"/>
        </w:rPr>
        <w:t>I – EXPEDIENTE</w:t>
      </w:r>
    </w:p>
    <w:p>
      <w:pPr>
        <w:pStyle w:val="style0"/>
        <w:tabs>
          <w:tab w:leader="none" w:pos="75" w:val="left"/>
          <w:tab w:leader="none" w:pos="46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</w:tabs>
        <w:ind w:firstLine="15" w:left="15" w:right="0"/>
        <w:jc w:val="center"/>
      </w:pPr>
      <w:r>
        <w:rPr>
          <w:rFonts w:ascii="Nimbus Roman No9 L" w:cs="Tahoma" w:hAnsi="Nimbus Roman No9 L"/>
          <w:b/>
          <w:bCs/>
          <w:sz w:val="26"/>
          <w:szCs w:val="26"/>
          <w:u w:val="none"/>
        </w:rPr>
        <w:t>Art. 158 do RI</w:t>
      </w:r>
    </w:p>
    <w:p>
      <w:pPr>
        <w:pStyle w:val="style0"/>
        <w:tabs>
          <w:tab w:leader="none" w:pos="465" w:val="left"/>
          <w:tab w:leader="none" w:pos="49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firstLine="15" w:left="15" w:right="0"/>
        <w:jc w:val="both"/>
      </w:pPr>
      <w:r>
        <w:rPr/>
      </w:r>
    </w:p>
    <w:p>
      <w:pPr>
        <w:pStyle w:val="style0"/>
        <w:ind w:hanging="300" w:left="28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1.  Aprovação da Ata da 19ª Sessão Ordinária.</w:t>
      </w:r>
    </w:p>
    <w:p>
      <w:pPr>
        <w:pStyle w:val="style0"/>
        <w:numPr>
          <w:ilvl w:val="0"/>
          <w:numId w:val="3"/>
        </w:numPr>
        <w:tabs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599" w:val="left"/>
          <w:tab w:leader="none" w:pos="2869" w:val="left"/>
          <w:tab w:leader="none" w:pos="3139" w:val="left"/>
          <w:tab w:leader="none" w:pos="3409" w:val="left"/>
          <w:tab w:leader="none" w:pos="4095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Correspondências recebidas.</w:t>
      </w:r>
    </w:p>
    <w:p>
      <w:pPr>
        <w:pStyle w:val="style0"/>
        <w:tabs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430" w:val="left"/>
          <w:tab w:leader="none" w:pos="2599" w:val="left"/>
          <w:tab w:leader="none" w:pos="2655" w:val="left"/>
          <w:tab w:leader="none" w:pos="2715" w:val="left"/>
          <w:tab w:leader="none" w:pos="2820" w:val="left"/>
          <w:tab w:leader="none" w:pos="2869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3. Proposições apresentadas pelos Vereadores e Tema Livre.</w:t>
      </w:r>
    </w:p>
    <w:p>
      <w:pPr>
        <w:pStyle w:val="style0"/>
        <w:ind w:hanging="345" w:left="360" w:right="0"/>
        <w:jc w:val="both"/>
      </w:pPr>
      <w:r>
        <w:rPr/>
      </w:r>
    </w:p>
    <w:p>
      <w:pPr>
        <w:pStyle w:val="style0"/>
        <w:ind w:hanging="345" w:left="360" w:right="0"/>
        <w:jc w:val="both"/>
      </w:pPr>
      <w:r>
        <w:rPr/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>II – ORDEM DO DIA</w:t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>Art. 162 do RI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/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b/>
          <w:bCs/>
        </w:rPr>
        <w:t>1. DELIBERAÇÃO  DO PROCESSO ADMINISTRATIVO (art. 20, § 3° do Código de Ética e Decoro Parlamentar).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b/>
          <w:bCs/>
        </w:rPr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>
          <w:b/>
          <w:bCs/>
        </w:rPr>
        <w:t>a) Processo Administrativo nº 001/2015/DLCMD.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both"/>
      </w:pPr>
      <w:r>
        <w:rPr/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/>
      </w:r>
    </w:p>
    <w:p>
      <w:pPr>
        <w:pStyle w:val="style0"/>
        <w:tabs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2.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PROJETOS EM 2ª DISCUSSÃO E VOTAÇÃO:</w:t>
      </w:r>
    </w:p>
    <w:p>
      <w:pPr>
        <w:pStyle w:val="style0"/>
        <w:tabs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312" w:val="left"/>
          <w:tab w:leader="none" w:pos="526" w:val="left"/>
          <w:tab w:leader="none" w:pos="540" w:val="left"/>
          <w:tab w:leader="none" w:pos="559" w:val="left"/>
          <w:tab w:leader="none" w:pos="724" w:val="left"/>
          <w:tab w:leader="none" w:pos="739" w:val="left"/>
          <w:tab w:leader="none" w:pos="754" w:val="left"/>
          <w:tab w:leader="none" w:pos="784" w:val="left"/>
          <w:tab w:leader="none" w:pos="799" w:val="left"/>
        </w:tabs>
        <w:ind w:hanging="0" w:left="15" w:right="0"/>
        <w:jc w:val="both"/>
      </w:pPr>
      <w:r>
        <w:rPr>
          <w:b/>
          <w:bCs/>
        </w:rPr>
        <w:t>a)</w:t>
      </w:r>
      <w:r>
        <w:rPr/>
        <w:t xml:space="preserve"> </w:t>
      </w:r>
      <w:r>
        <w:rPr>
          <w:rFonts w:ascii="Nimbus Roman No9 L" w:hAnsi="Nimbus Roman No9 L"/>
          <w:b/>
          <w:bCs/>
          <w:sz w:val="26"/>
          <w:szCs w:val="26"/>
          <w:u w:val="single"/>
        </w:rPr>
        <w:t>Projeto de Lei  nº 42/2015 (09),</w:t>
      </w:r>
      <w:r>
        <w:rPr>
          <w:rFonts w:ascii="Nimbus Roman No9 L" w:hAnsi="Nimbus Roman No9 L"/>
          <w:b w:val="false"/>
          <w:bCs w:val="false"/>
          <w:sz w:val="26"/>
          <w:szCs w:val="26"/>
          <w:u w:val="none"/>
        </w:rPr>
        <w:t xml:space="preserve"> de autoria do Poder Executivo, que dispõe </w:t>
        <w:tab/>
        <w:t xml:space="preserve">sobre as   </w:t>
        <w:tab/>
        <w:t xml:space="preserve">diretrizes orçamentárias para o exercício de 2016, e dá outras </w:t>
        <w:tab/>
        <w:t>providências.</w:t>
      </w:r>
    </w:p>
    <w:p>
      <w:pPr>
        <w:pStyle w:val="style0"/>
        <w:tabs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hanging="0" w:left="15" w:right="0"/>
        <w:jc w:val="both"/>
      </w:pPr>
      <w:r>
        <w:rPr>
          <w:b/>
          <w:bCs/>
        </w:rPr>
      </w:r>
    </w:p>
    <w:p>
      <w:pPr>
        <w:pStyle w:val="style0"/>
        <w:tabs>
          <w:tab w:leader="none" w:pos="264" w:val="left"/>
          <w:tab w:leader="none" w:pos="709" w:val="left"/>
          <w:tab w:leader="none" w:pos="989" w:val="left"/>
          <w:tab w:leader="none" w:pos="1400" w:val="left"/>
          <w:tab w:leader="none" w:pos="1664" w:val="left"/>
          <w:tab w:leader="none" w:pos="1697" w:val="left"/>
          <w:tab w:leader="none" w:pos="1829" w:val="left"/>
          <w:tab w:leader="none" w:pos="2465" w:val="left"/>
        </w:tabs>
        <w:ind w:hanging="0" w:left="0" w:right="0"/>
        <w:jc w:val="both"/>
      </w:pPr>
      <w:r>
        <w:rPr>
          <w:rFonts w:ascii="Nimbus Roman No9 L" w:hAnsi="Nimbus Roman No9 L"/>
          <w:b/>
          <w:bCs/>
          <w:sz w:val="26"/>
          <w:szCs w:val="26"/>
          <w:u w:val="none"/>
        </w:rPr>
        <w:t xml:space="preserve">c) </w:t>
      </w:r>
      <w:r>
        <w:rPr>
          <w:rFonts w:ascii="Nimbus Roman No9 L" w:hAnsi="Nimbus Roman No9 L"/>
          <w:b/>
          <w:bCs/>
          <w:sz w:val="26"/>
          <w:szCs w:val="26"/>
          <w:u w:val="single"/>
        </w:rPr>
        <w:t>Projeto de Lei nº 055/2015 (013),</w:t>
      </w:r>
      <w:r>
        <w:rPr>
          <w:rFonts w:ascii="Nimbus Roman No9 L" w:hAnsi="Nimbus Roman No9 L"/>
          <w:b w:val="false"/>
          <w:bCs w:val="false"/>
          <w:sz w:val="26"/>
          <w:szCs w:val="26"/>
          <w:u w:val="none"/>
        </w:rPr>
        <w:t xml:space="preserve">  de autoria  do  Poder  Executivo, que  </w:t>
        <w:tab/>
        <w:t xml:space="preserve">autoriza  a  </w:t>
        <w:tab/>
        <w:t xml:space="preserve">desafetação de áreas, visando a  regularização  das  sobras  de  </w:t>
        <w:tab/>
        <w:t xml:space="preserve">áreas públicas com os </w:t>
        <w:tab/>
        <w:t>respectivos lindeiros.</w:t>
      </w:r>
    </w:p>
    <w:p>
      <w:pPr>
        <w:pStyle w:val="style0"/>
        <w:tabs>
          <w:tab w:leader="none" w:pos="658" w:val="left"/>
          <w:tab w:leader="none" w:pos="675" w:val="left"/>
          <w:tab w:leader="none" w:pos="692" w:val="left"/>
          <w:tab w:leader="none" w:pos="938" w:val="left"/>
          <w:tab w:leader="none" w:pos="1069" w:val="left"/>
          <w:tab w:leader="none" w:pos="1218" w:val="left"/>
          <w:tab w:leader="none" w:pos="1316" w:val="left"/>
          <w:tab w:leader="none" w:pos="1333" w:val="left"/>
          <w:tab w:leader="none" w:pos="1366" w:val="left"/>
          <w:tab w:leader="none" w:pos="1498" w:val="left"/>
          <w:tab w:leader="none" w:pos="2134" w:val="left"/>
        </w:tabs>
        <w:ind w:hanging="0" w:left="-17" w:right="0"/>
        <w:jc w:val="both"/>
      </w:pPr>
      <w:r>
        <w:rPr/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829" w:val="left"/>
          <w:tab w:leader="none" w:pos="1960" w:val="left"/>
          <w:tab w:leader="none" w:pos="2109" w:val="left"/>
          <w:tab w:leader="none" w:pos="2207" w:val="left"/>
          <w:tab w:leader="none" w:pos="2224" w:val="left"/>
          <w:tab w:leader="none" w:pos="2257" w:val="left"/>
          <w:tab w:leader="none" w:pos="2389" w:val="left"/>
          <w:tab w:leader="none" w:pos="3025" w:val="left"/>
        </w:tabs>
        <w:ind w:hanging="297" w:left="280" w:right="0"/>
        <w:jc w:val="both"/>
      </w:pPr>
      <w:r>
        <w:rPr>
          <w:rFonts w:ascii="Nimbus Roman No9 L" w:hAnsi="Nimbus Roman No9 L"/>
          <w:b/>
          <w:bCs/>
          <w:sz w:val="26"/>
          <w:szCs w:val="26"/>
          <w:u w:val="none"/>
        </w:rPr>
        <w:t>d</w:t>
      </w:r>
      <w:r>
        <w:rPr>
          <w:rFonts w:ascii="Nimbus Roman No9 L" w:hAnsi="Nimbus Roman No9 L"/>
          <w:b w:val="false"/>
          <w:bCs w:val="false"/>
          <w:sz w:val="26"/>
          <w:szCs w:val="26"/>
          <w:u w:val="none"/>
        </w:rPr>
        <w:t xml:space="preserve">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rojeto de Lei nº 53/2015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, de autoria do Vereador Elias Ishy, que dispõe  sobre a destinação de espaço físico  para a participação dos empreendimentos de economia solidaria nos eventos festivo-culturais realizados pela Administração Municipal.</w:t>
      </w:r>
    </w:p>
    <w:p>
      <w:pPr>
        <w:pStyle w:val="style0"/>
        <w:tabs>
          <w:tab w:leader="none" w:pos="658" w:val="left"/>
          <w:tab w:leader="none" w:pos="675" w:val="left"/>
          <w:tab w:leader="none" w:pos="692" w:val="left"/>
          <w:tab w:leader="none" w:pos="938" w:val="left"/>
          <w:tab w:leader="none" w:pos="1069" w:val="left"/>
          <w:tab w:leader="none" w:pos="1218" w:val="left"/>
          <w:tab w:leader="none" w:pos="1316" w:val="left"/>
          <w:tab w:leader="none" w:pos="1333" w:val="left"/>
          <w:tab w:leader="none" w:pos="1366" w:val="left"/>
          <w:tab w:leader="none" w:pos="1498" w:val="left"/>
          <w:tab w:leader="none" w:pos="2134" w:val="left"/>
        </w:tabs>
        <w:ind w:hanging="0" w:left="-17" w:right="0"/>
        <w:jc w:val="both"/>
      </w:pPr>
      <w:r>
        <w:rPr/>
      </w:r>
    </w:p>
    <w:p>
      <w:pPr>
        <w:pStyle w:val="style22"/>
        <w:tabs>
          <w:tab w:leader="none" w:pos="1039" w:val="left"/>
        </w:tabs>
        <w:ind w:hanging="330" w:left="330" w:right="0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e) P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rojeto de Lei nº 56/2015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, de autoria do Vereador Pedro Pepa,  que  denomina        Professor  Orair Soares de Castro,  o  Centro  de  Educação  Infantil Municipal  – </w:t>
        <w:tab/>
        <w:t>CEIM, localizado na Rua  Henrique Cirilo Corrêa no Jardim Vitória.</w:t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829" w:val="left"/>
          <w:tab w:leader="none" w:pos="1960" w:val="left"/>
          <w:tab w:leader="none" w:pos="2109" w:val="left"/>
          <w:tab w:leader="none" w:pos="2207" w:val="left"/>
          <w:tab w:leader="none" w:pos="2224" w:val="left"/>
          <w:tab w:leader="none" w:pos="2257" w:val="left"/>
          <w:tab w:leader="none" w:pos="2389" w:val="left"/>
          <w:tab w:leader="none" w:pos="3025" w:val="left"/>
        </w:tabs>
        <w:ind w:hanging="297" w:left="280" w:right="0"/>
        <w:jc w:val="both"/>
      </w:pPr>
      <w:r>
        <w:rPr/>
      </w:r>
    </w:p>
    <w:p>
      <w:pPr>
        <w:pStyle w:val="style0"/>
        <w:tabs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3.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PROJETOS EM 1ª DISCUSSÃO E VOTAÇÃO:</w:t>
      </w:r>
    </w:p>
    <w:p>
      <w:pPr>
        <w:pStyle w:val="style0"/>
        <w:tabs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361" w:val="left"/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a)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 de Lei Complementar nº 15/2015,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 de autoria do Vereador Madson </w:t>
        <w:tab/>
        <w:t xml:space="preserve">Valente, que altera dispositivos da Lei nº 1.041/1979, que regula o loteamento e </w:t>
        <w:tab/>
        <w:t>terrenos urbanos.</w:t>
      </w:r>
    </w:p>
    <w:p>
      <w:pPr>
        <w:pStyle w:val="style0"/>
        <w:tabs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312" w:val="left"/>
          <w:tab w:leader="none" w:pos="526" w:val="left"/>
          <w:tab w:leader="none" w:pos="540" w:val="left"/>
          <w:tab w:leader="none" w:pos="559" w:val="left"/>
          <w:tab w:leader="none" w:pos="724" w:val="left"/>
          <w:tab w:leader="none" w:pos="739" w:val="left"/>
          <w:tab w:leader="none" w:pos="754" w:val="left"/>
          <w:tab w:leader="none" w:pos="784" w:val="left"/>
          <w:tab w:leader="none" w:pos="799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b)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 de Lei  nº 48/2015 (12),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 de autoria do Poder Executivo, que altera </w:t>
        <w:tab/>
        <w:t xml:space="preserve">dispositivos da Lei 2.491/2002, que estabelece normas para a realização de </w:t>
        <w:tab/>
        <w:t xml:space="preserve">Eleição para Diretores e Diretores Adjuntos das Unidades Escolares da </w:t>
        <w:tab/>
        <w:t>REME.</w:t>
      </w:r>
    </w:p>
    <w:p>
      <w:pPr>
        <w:pStyle w:val="style0"/>
        <w:tabs>
          <w:tab w:leader="none" w:pos="312" w:val="left"/>
          <w:tab w:leader="none" w:pos="526" w:val="left"/>
          <w:tab w:leader="none" w:pos="540" w:val="left"/>
          <w:tab w:leader="none" w:pos="559" w:val="left"/>
          <w:tab w:leader="none" w:pos="724" w:val="left"/>
          <w:tab w:leader="none" w:pos="739" w:val="left"/>
          <w:tab w:leader="none" w:pos="754" w:val="left"/>
          <w:tab w:leader="none" w:pos="784" w:val="left"/>
          <w:tab w:leader="none" w:pos="799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    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- Emenda Anexa</w:t>
      </w:r>
    </w:p>
    <w:p>
      <w:pPr>
        <w:pStyle w:val="style0"/>
        <w:tabs>
          <w:tab w:leader="none" w:pos="312" w:val="left"/>
          <w:tab w:leader="none" w:pos="526" w:val="left"/>
          <w:tab w:leader="none" w:pos="540" w:val="left"/>
          <w:tab w:leader="none" w:pos="559" w:val="left"/>
          <w:tab w:leader="none" w:pos="724" w:val="left"/>
          <w:tab w:leader="none" w:pos="739" w:val="left"/>
          <w:tab w:leader="none" w:pos="754" w:val="left"/>
          <w:tab w:leader="none" w:pos="784" w:val="left"/>
          <w:tab w:leader="none" w:pos="799" w:val="left"/>
        </w:tabs>
        <w:ind w:hanging="0" w:left="15" w:right="0"/>
        <w:jc w:val="both"/>
      </w:pPr>
      <w:r>
        <w:rPr>
          <w:b/>
          <w:bCs/>
          <w:u w:val="none"/>
        </w:rPr>
      </w:r>
    </w:p>
    <w:p>
      <w:pPr>
        <w:pStyle w:val="style0"/>
        <w:tabs>
          <w:tab w:leader="none" w:pos="378" w:val="left"/>
          <w:tab w:leader="none" w:pos="427" w:val="left"/>
          <w:tab w:leader="none" w:pos="460" w:val="left"/>
          <w:tab w:leader="none" w:pos="540" w:val="left"/>
          <w:tab w:leader="none" w:pos="739" w:val="left"/>
          <w:tab w:leader="none" w:pos="754" w:val="left"/>
          <w:tab w:leader="none" w:pos="799" w:val="left"/>
          <w:tab w:leader="none" w:pos="814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c)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 de Lei  nº 58/2015,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 de autoria do Vereador Sergio Nogueira, que institui </w:t>
        <w:tab/>
        <w:t xml:space="preserve">o </w:t>
        <w:tab/>
        <w:t xml:space="preserve">Dia do Pastor Evangélico, a ser comemorado no segundo domingo do mês </w:t>
        <w:tab/>
        <w:t xml:space="preserve">de </w:t>
        <w:tab/>
        <w:t>junho.</w:t>
      </w:r>
    </w:p>
    <w:p>
      <w:pPr>
        <w:pStyle w:val="style0"/>
        <w:tabs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hanging="0" w:left="15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4.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MATÉRIAS EM DELIBERAÇÃO: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 xml:space="preserve">a) </w:t>
      </w:r>
      <w:r>
        <w:rPr>
          <w:rFonts w:ascii="Nimbus Roman No9 L" w:cs="Nimbus Roman No9 L;Times New Roman" w:hAnsi="Nimbus Roman No9 L"/>
          <w:sz w:val="26"/>
          <w:szCs w:val="26"/>
        </w:rPr>
        <w:t>Requerimentos: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Plenário “Weimar Torres”, 15 de junho de 2015.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 xml:space="preserve">Ver. Idenor Machado </w:t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Presidente</w:t>
      </w:r>
    </w:p>
    <w:sectPr>
      <w:type w:val="nextPage"/>
      <w:pgSz w:h="16838" w:w="11906"/>
      <w:pgMar w:bottom="1063" w:footer="0" w:gutter="0" w:header="0" w:left="2291" w:right="911" w:top="239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erif">
    <w:altName w:val="Times New Roman"/>
    <w:charset w:val="80"/>
    <w:family w:val="roman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00"/>
      <w:numFmt w:val="lowerRoman"/>
      <w:lvlText w:val="%1)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00"/>
      <w:numFmt w:val="lowerRoman"/>
      <w:lvlText w:val="%1)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;Times New Roman" w:cs="Lohit Hindi" w:eastAsia="WenQuanYi Micro Hei" w:hAnsi="Liberation Serif;Times New Roman"/>
      <w:color w:val="00000A"/>
      <w:sz w:val="24"/>
      <w:szCs w:val="24"/>
      <w:lang w:bidi="hi-IN" w:eastAsia="zh-CN" w:val="pt-BR"/>
    </w:rPr>
  </w:style>
  <w:style w:styleId="style3" w:type="paragraph">
    <w:name w:val="Título 3"/>
    <w:basedOn w:val="style21"/>
    <w:next w:val="style22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WW8Num1z0"/>
    <w:next w:val="style15"/>
    <w:rPr>
      <w:rFonts w:ascii="Symbol" w:cs="OpenSymbol;Arial Unicode MS" w:hAnsi="Symbol"/>
    </w:rPr>
  </w:style>
  <w:style w:styleId="style16" w:type="character">
    <w:name w:val="WW8Num1z1"/>
    <w:next w:val="style16"/>
    <w:rPr>
      <w:rFonts w:ascii="OpenSymbol;Arial Unicode MS" w:cs="OpenSymbol;Arial Unicode MS" w:hAnsi="OpenSymbol;Arial Unicode MS"/>
    </w:rPr>
  </w:style>
  <w:style w:styleId="style17" w:type="character">
    <w:name w:val="Marca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Símbolos de numeração"/>
    <w:next w:val="style20"/>
    <w:rPr/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Liberation Sans;Arial" w:cs="Lohit Hindi" w:eastAsia="WenQuanYi Micro Hei" w:hAnsi="Liberation Sans;Arial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ascii="Liberation Serif;Times New Roman" w:cs="Lohit Hindi" w:hAnsi="Liberation Serif;Times New Roman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ascii="Liberation Serif;Times New Roman" w:cs="Lohit Hindi" w:hAnsi="Liberation Serif;Times New Roman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ascii="Liberation Serif;Times New Roman" w:cs="Lohit Hindi" w:hAnsi="Liberation Serif;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2015-05-25T08:25:21.00Z</dcterms:created>
  <cp:lastPrinted>2015-06-15T11:57:20.00Z</cp:lastPrinted>
  <cp:revision>0</cp:revision>
</cp:coreProperties>
</file>